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right"/>
        <w:rPr/>
      </w:pPr>
      <w:r w:rsidDel="00000000" w:rsidR="00000000" w:rsidRPr="00000000">
        <w:rPr>
          <w:rtl w:val="0"/>
        </w:rPr>
      </w:r>
    </w:p>
    <w:tbl>
      <w:tblPr>
        <w:tblStyle w:val="Table1"/>
        <w:tblW w:w="9606.0" w:type="dxa"/>
        <w:jc w:val="left"/>
        <w:tblInd w:w="10.0" w:type="dxa"/>
        <w:tblBorders>
          <w:top w:color="d5d5d5" w:space="0" w:sz="4" w:val="single"/>
          <w:bottom w:color="d5d5d5" w:space="0" w:sz="4" w:val="single"/>
        </w:tblBorders>
        <w:tblLayout w:type="fixed"/>
        <w:tblLook w:val="0000"/>
      </w:tblPr>
      <w:tblGrid>
        <w:gridCol w:w="7685"/>
        <w:gridCol w:w="1921"/>
        <w:tblGridChange w:id="0">
          <w:tblGrid>
            <w:gridCol w:w="7685"/>
            <w:gridCol w:w="1921"/>
          </w:tblGrid>
        </w:tblGridChange>
      </w:tblGrid>
      <w:tr>
        <w:trPr>
          <w:cantSplit w:val="0"/>
          <w:tblHeader w:val="0"/>
        </w:trPr>
        <w:tc>
          <w:tcPr>
            <w:shd w:fill="efefef" w:val="clear"/>
            <w:tcMar>
              <w:bottom w:w="0.0" w:type="dxa"/>
            </w:tcMar>
          </w:tcPr>
          <w:p w:rsidR="00000000" w:rsidDel="00000000" w:rsidP="00000000" w:rsidRDefault="00000000" w:rsidRPr="00000000" w14:paraId="00000002">
            <w:pPr>
              <w:spacing w:after="0" w:lineRule="auto"/>
              <w:rPr/>
            </w:pPr>
            <w:r w:rsidDel="00000000" w:rsidR="00000000" w:rsidRPr="00000000">
              <w:rPr>
                <w:rFonts w:ascii="Lato Black" w:cs="Lato Black" w:eastAsia="Lato Black" w:hAnsi="Lato Black"/>
                <w:b w:val="1"/>
                <w:rtl w:val="0"/>
              </w:rPr>
              <w:t xml:space="preserve">Policy 210.09: Consent Agenda</w:t>
            </w:r>
            <w:r w:rsidDel="00000000" w:rsidR="00000000" w:rsidRPr="00000000">
              <w:rPr>
                <w:rtl w:val="0"/>
              </w:rPr>
            </w:r>
          </w:p>
        </w:tc>
        <w:tc>
          <w:tcPr>
            <w:shd w:fill="efefef" w:val="clear"/>
            <w:tcMar>
              <w:bottom w:w="0.0" w:type="dxa"/>
            </w:tcMar>
          </w:tcPr>
          <w:p w:rsidR="00000000" w:rsidDel="00000000" w:rsidP="00000000" w:rsidRDefault="00000000" w:rsidRPr="00000000" w14:paraId="00000003">
            <w:pPr>
              <w:rPr/>
            </w:pPr>
            <w:r w:rsidDel="00000000" w:rsidR="00000000" w:rsidRPr="00000000">
              <w:rPr>
                <w:rFonts w:ascii="Lato Black" w:cs="Lato Black" w:eastAsia="Lato Black" w:hAnsi="Lato Black"/>
                <w:b w:val="1"/>
                <w:rtl w:val="0"/>
              </w:rPr>
              <w:t xml:space="preserve">Status: </w:t>
            </w:r>
            <w:r w:rsidDel="00000000" w:rsidR="00000000" w:rsidRPr="00000000">
              <w:rPr>
                <w:rFonts w:ascii="Lato" w:cs="Lato" w:eastAsia="Lato" w:hAnsi="Lato"/>
                <w:rtl w:val="0"/>
              </w:rPr>
              <w:t xml:space="preserve">ADOPTED</w:t>
            </w:r>
            <w:r w:rsidDel="00000000" w:rsidR="00000000" w:rsidRPr="00000000">
              <w:rPr>
                <w:rtl w:val="0"/>
              </w:rPr>
            </w:r>
          </w:p>
        </w:tc>
      </w:tr>
      <w:tr>
        <w:trPr>
          <w:cantSplit w:val="0"/>
          <w:tblHeader w:val="0"/>
        </w:trPr>
        <w:tc>
          <w:tcPr>
            <w:shd w:fill="efefef" w:val="clear"/>
            <w:tcMar>
              <w:bottom w:w="0.0" w:type="dxa"/>
            </w:tcMar>
          </w:tcPr>
          <w:p w:rsidR="00000000" w:rsidDel="00000000" w:rsidP="00000000" w:rsidRDefault="00000000" w:rsidRPr="00000000" w14:paraId="00000004">
            <w:pPr>
              <w:rPr/>
            </w:pPr>
            <w:r w:rsidDel="00000000" w:rsidR="00000000" w:rsidRPr="00000000">
              <w:rPr>
                <w:rFonts w:ascii="Lato Black" w:cs="Lato Black" w:eastAsia="Lato Black" w:hAnsi="Lato Black"/>
                <w:b w:val="1"/>
                <w:sz w:val="18"/>
                <w:szCs w:val="18"/>
                <w:rtl w:val="0"/>
              </w:rPr>
              <w:t xml:space="preserve">Original Adopted Date: </w:t>
            </w:r>
            <w:r w:rsidDel="00000000" w:rsidR="00000000" w:rsidRPr="00000000">
              <w:rPr>
                <w:rFonts w:ascii="Lato" w:cs="Lato" w:eastAsia="Lato" w:hAnsi="Lato"/>
                <w:sz w:val="18"/>
                <w:szCs w:val="18"/>
                <w:rtl w:val="0"/>
              </w:rPr>
              <w:t xml:space="preserve">03/20/2024</w:t>
            </w:r>
            <w:r w:rsidDel="00000000" w:rsidR="00000000" w:rsidRPr="00000000">
              <w:rPr>
                <w:rFonts w:ascii="Lato Black" w:cs="Lato Black" w:eastAsia="Lato Black" w:hAnsi="Lato Black"/>
                <w:b w:val="1"/>
                <w:sz w:val="18"/>
                <w:szCs w:val="18"/>
                <w:rtl w:val="0"/>
              </w:rPr>
              <w:t xml:space="preserve"> | Last Revised: </w:t>
            </w:r>
            <w:r w:rsidDel="00000000" w:rsidR="00000000" w:rsidRPr="00000000">
              <w:rPr>
                <w:rFonts w:ascii="Lato" w:cs="Lato" w:eastAsia="Lato" w:hAnsi="Lato"/>
                <w:sz w:val="18"/>
                <w:szCs w:val="18"/>
                <w:rtl w:val="0"/>
              </w:rPr>
              <w:t xml:space="preserve">03/20/2024</w:t>
            </w:r>
            <w:r w:rsidDel="00000000" w:rsidR="00000000" w:rsidRPr="00000000">
              <w:rPr>
                <w:rFonts w:ascii="Lato Black" w:cs="Lato Black" w:eastAsia="Lato Black" w:hAnsi="Lato Black"/>
                <w:b w:val="1"/>
                <w:sz w:val="18"/>
                <w:szCs w:val="18"/>
                <w:rtl w:val="0"/>
              </w:rPr>
              <w:t xml:space="preserve"> | Last Reviewed: </w:t>
            </w:r>
            <w:r w:rsidDel="00000000" w:rsidR="00000000" w:rsidRPr="00000000">
              <w:rPr>
                <w:rFonts w:ascii="Lato" w:cs="Lato" w:eastAsia="Lato" w:hAnsi="Lato"/>
                <w:sz w:val="18"/>
                <w:szCs w:val="18"/>
                <w:rtl w:val="0"/>
              </w:rPr>
              <w:t xml:space="preserve">03/20/2024</w:t>
            </w:r>
            <w:r w:rsidDel="00000000" w:rsidR="00000000" w:rsidRPr="00000000">
              <w:rPr>
                <w:rtl w:val="0"/>
              </w:rPr>
            </w:r>
          </w:p>
        </w:tc>
        <w:tc>
          <w:tcPr>
            <w:shd w:fill="efefef" w:val="clear"/>
            <w:tcMar>
              <w:bottom w:w="0.0" w:type="dxa"/>
            </w:tcMar>
          </w:tcPr>
          <w:p w:rsidR="00000000" w:rsidDel="00000000" w:rsidP="00000000" w:rsidRDefault="00000000" w:rsidRPr="00000000" w14:paraId="00000005">
            <w:pPr>
              <w:spacing w:after="0" w:lineRule="auto"/>
              <w:rPr/>
            </w:pPr>
            <w:r w:rsidDel="00000000" w:rsidR="00000000" w:rsidRPr="00000000">
              <w:rPr>
                <w:rtl w:val="0"/>
              </w:rPr>
            </w:r>
          </w:p>
        </w:tc>
      </w:tr>
    </w:tbl>
    <w:p w:rsidR="00000000" w:rsidDel="00000000" w:rsidP="00000000" w:rsidRDefault="00000000" w:rsidRPr="00000000" w14:paraId="00000006">
      <w:pPr>
        <w:spacing w:after="30" w:lineRule="auto"/>
        <w:jc w:val="right"/>
        <w:rPr/>
      </w:pPr>
      <w:r w:rsidDel="00000000" w:rsidR="00000000" w:rsidRPr="00000000">
        <w:rPr>
          <w:rtl w:val="0"/>
        </w:rPr>
      </w:r>
    </w:p>
    <w:p w:rsidR="00000000" w:rsidDel="00000000" w:rsidP="00000000" w:rsidRDefault="00000000" w:rsidRPr="00000000" w14:paraId="00000007">
      <w:pPr>
        <w:rPr>
          <w:rFonts w:ascii="Lato" w:cs="Lato" w:eastAsia="Lato" w:hAnsi="Lato"/>
        </w:rPr>
      </w:pPr>
      <w:bookmarkStart w:colFirst="0" w:colLast="0" w:name="_heading=h.gjdgxs" w:id="0"/>
      <w:bookmarkEnd w:id="0"/>
      <w:r w:rsidDel="00000000" w:rsidR="00000000" w:rsidRPr="00000000">
        <w:rPr>
          <w:rFonts w:ascii="Lato" w:cs="Lato" w:eastAsia="Lato" w:hAnsi="Lato"/>
          <w:rtl w:val="0"/>
        </w:rPr>
        <w:t xml:space="preserve">Very often the Tri-County  board must consider agenda items which are noncontroversial or similar in content.  Such agenda items might include ministerial tasks such as, but not limited to, the approval of the agenda, approval of previous minutes, approval of bills, approval of reports, etc.  These items might also include similar groups of decisions such as, but not limited to, approval of staff contracts, approval of maintenance details for the school buildings and grounds, open enrollment requests or approval of various schedules.</w:t>
        <w:br w:type="textWrapping"/>
        <w:br w:type="textWrapping"/>
        <w:t xml:space="preserve">In order for a more efficient administration of board meetings, the board may elect to use a consent agenda for the passage of noncontroversial items or items of a similar nature.</w:t>
        <w:br w:type="textWrapping"/>
        <w:br w:type="textWrapping"/>
        <w:t xml:space="preserve">The superintendent in consultation with the board president and board secretary shall place items on the consent agenda.  By using a consent agenda, the board has consented to the consideration of certain items as a group under one resolution.  Items may be removed from the consent agenda at the request of a board member.</w:t>
        <w:br w:type="textWrapping"/>
        <w:br w:type="textWrapping"/>
        <w:t xml:space="preserve">Nothing in this policy is to be construed as an attempt to avoid full compliance with laws dealing with open meetings or public notice of the agenda and meeting.</w:t>
        <w:br w:type="textWrapping"/>
        <w:br w:type="textWrapping"/>
        <w:br w:type="textWrapping"/>
        <w:br w:type="textWrapping"/>
        <w:br w:type="textWrapping"/>
        <w:t xml:space="preserve">  </w:t>
      </w:r>
    </w:p>
    <w:tbl>
      <w:tblPr>
        <w:tblStyle w:val="Table2"/>
        <w:tblW w:w="10500.0" w:type="dxa"/>
        <w:jc w:val="left"/>
        <w:tblLayout w:type="fixed"/>
        <w:tblLook w:val="0400"/>
      </w:tblPr>
      <w:tblGrid>
        <w:gridCol w:w="1875"/>
        <w:gridCol w:w="8625"/>
        <w:tblGridChange w:id="0">
          <w:tblGrid>
            <w:gridCol w:w="1875"/>
            <w:gridCol w:w="8625"/>
          </w:tblGrid>
        </w:tblGridChange>
      </w:tblGrid>
      <w:tr>
        <w:trPr>
          <w:cantSplit w:val="0"/>
          <w:tblHeader w:val="0"/>
        </w:trPr>
        <w:tc>
          <w:tcPr/>
          <w:p w:rsidR="00000000" w:rsidDel="00000000" w:rsidP="00000000" w:rsidRDefault="00000000" w:rsidRPr="00000000" w14:paraId="00000008">
            <w:pPr>
              <w:rPr>
                <w:rFonts w:ascii="Lato" w:cs="Lato" w:eastAsia="Lato" w:hAnsi="Lato"/>
              </w:rPr>
            </w:pPr>
            <w:r w:rsidDel="00000000" w:rsidR="00000000" w:rsidRPr="00000000">
              <w:rPr>
                <w:rFonts w:ascii="Lato" w:cs="Lato" w:eastAsia="Lato" w:hAnsi="Lato"/>
                <w:rtl w:val="0"/>
              </w:rPr>
              <w:t xml:space="preserve">Legal Reference:</w:t>
            </w:r>
          </w:p>
        </w:tc>
        <w:tc>
          <w:tcPr/>
          <w:p w:rsidR="00000000" w:rsidDel="00000000" w:rsidP="00000000" w:rsidRDefault="00000000" w:rsidRPr="00000000" w14:paraId="00000009">
            <w:pPr>
              <w:rPr>
                <w:rFonts w:ascii="Lato" w:cs="Lato" w:eastAsia="Lato" w:hAnsi="Lato"/>
              </w:rPr>
            </w:pPr>
            <w:r w:rsidDel="00000000" w:rsidR="00000000" w:rsidRPr="00000000">
              <w:rPr>
                <w:rFonts w:ascii="Lato" w:cs="Lato" w:eastAsia="Lato" w:hAnsi="Lato"/>
                <w:rtl w:val="0"/>
              </w:rPr>
              <w:t xml:space="preserve">Iowa Code §§ 21; 279.8.</w:t>
            </w:r>
          </w:p>
        </w:tc>
      </w:tr>
    </w:tbl>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pBdr>
          <w:bottom w:color="000000" w:space="1" w:sz="5" w:val="single"/>
        </w:pBdr>
        <w:rPr/>
      </w:pPr>
      <w:r w:rsidDel="00000000" w:rsidR="00000000" w:rsidRPr="00000000">
        <w:rPr>
          <w:rtl w:val="0"/>
        </w:rPr>
      </w:r>
    </w:p>
    <w:tbl>
      <w:tblPr>
        <w:tblStyle w:val="Table3"/>
        <w:tblW w:w="9993.0" w:type="dxa"/>
        <w:jc w:val="left"/>
        <w:tblInd w:w="10.0" w:type="dxa"/>
        <w:tblLayout w:type="fixed"/>
        <w:tblLook w:val="0000"/>
      </w:tblPr>
      <w:tblGrid>
        <w:gridCol w:w="4023"/>
        <w:gridCol w:w="5970"/>
        <w:tblGridChange w:id="0">
          <w:tblGrid>
            <w:gridCol w:w="4023"/>
            <w:gridCol w:w="5970"/>
          </w:tblGrid>
        </w:tblGridChange>
      </w:tblGrid>
      <w:tr>
        <w:trPr>
          <w:cantSplit w:val="0"/>
          <w:tblHeader w:val="0"/>
        </w:trPr>
        <w:tc>
          <w:tcPr>
            <w:tcMar>
              <w:top w:w="0.0" w:type="dxa"/>
              <w:bottom w:w="0.0" w:type="dxa"/>
            </w:tcMar>
          </w:tcPr>
          <w:p w:rsidR="00000000" w:rsidDel="00000000" w:rsidP="00000000" w:rsidRDefault="00000000" w:rsidRPr="00000000" w14:paraId="0000000C">
            <w:pPr>
              <w:spacing w:after="0" w:lineRule="auto"/>
              <w:rPr/>
            </w:pPr>
            <w:r w:rsidDel="00000000" w:rsidR="00000000" w:rsidRPr="00000000">
              <w:rPr>
                <w:rFonts w:ascii="Lato Black" w:cs="Lato Black" w:eastAsia="Lato Black" w:hAnsi="Lato Black"/>
                <w:b w:val="1"/>
                <w:rtl w:val="0"/>
              </w:rPr>
              <w:t xml:space="preserve">I.C. Iowa Code</w:t>
            </w:r>
            <w:r w:rsidDel="00000000" w:rsidR="00000000" w:rsidRPr="00000000">
              <w:rPr>
                <w:rtl w:val="0"/>
              </w:rPr>
            </w:r>
          </w:p>
        </w:tc>
        <w:tc>
          <w:tcPr>
            <w:tcMar>
              <w:top w:w="0.0" w:type="dxa"/>
              <w:bottom w:w="0.0" w:type="dxa"/>
            </w:tcMar>
          </w:tcPr>
          <w:p w:rsidR="00000000" w:rsidDel="00000000" w:rsidP="00000000" w:rsidRDefault="00000000" w:rsidRPr="00000000" w14:paraId="0000000D">
            <w:pPr>
              <w:spacing w:after="0" w:lineRule="auto"/>
              <w:rPr/>
            </w:pPr>
            <w:r w:rsidDel="00000000" w:rsidR="00000000" w:rsidRPr="00000000">
              <w:rPr>
                <w:rFonts w:ascii="Lato Black" w:cs="Lato Black" w:eastAsia="Lato Black" w:hAnsi="Lato Black"/>
                <w:b w:val="1"/>
                <w:rtl w:val="0"/>
              </w:rPr>
              <w:t xml:space="preserve">Description</w:t>
            </w:r>
            <w:r w:rsidDel="00000000" w:rsidR="00000000" w:rsidRPr="00000000">
              <w:rPr>
                <w:rtl w:val="0"/>
              </w:rPr>
            </w:r>
          </w:p>
        </w:tc>
      </w:tr>
      <w:tr>
        <w:trPr>
          <w:cantSplit w:val="0"/>
          <w:tblHeader w:val="0"/>
        </w:trPr>
        <w:tc>
          <w:tcPr>
            <w:tcMar>
              <w:top w:w="0.0" w:type="dxa"/>
              <w:bottom w:w="0.0" w:type="dxa"/>
            </w:tcMar>
          </w:tcPr>
          <w:p w:rsidR="00000000" w:rsidDel="00000000" w:rsidP="00000000" w:rsidRDefault="00000000" w:rsidRPr="00000000" w14:paraId="0000000E">
            <w:pPr>
              <w:spacing w:after="0" w:lineRule="auto"/>
              <w:rPr/>
            </w:pPr>
            <w:r w:rsidDel="00000000" w:rsidR="00000000" w:rsidRPr="00000000">
              <w:rPr>
                <w:rFonts w:ascii="Lato" w:cs="Lato" w:eastAsia="Lato" w:hAnsi="Lato"/>
                <w:rtl w:val="0"/>
              </w:rPr>
              <w:t xml:space="preserve">Iowa Code  § 21</w:t>
            </w:r>
            <w:r w:rsidDel="00000000" w:rsidR="00000000" w:rsidRPr="00000000">
              <w:rPr>
                <w:rtl w:val="0"/>
              </w:rPr>
            </w:r>
          </w:p>
        </w:tc>
        <w:tc>
          <w:tcPr>
            <w:tcMar>
              <w:top w:w="0.0" w:type="dxa"/>
              <w:bottom w:w="0.0" w:type="dxa"/>
            </w:tcMar>
          </w:tcPr>
          <w:p w:rsidR="00000000" w:rsidDel="00000000" w:rsidP="00000000" w:rsidRDefault="00000000" w:rsidRPr="00000000" w14:paraId="0000000F">
            <w:pPr>
              <w:rPr/>
            </w:pPr>
            <w:hyperlink r:id="rId7">
              <w:r w:rsidDel="00000000" w:rsidR="00000000" w:rsidRPr="00000000">
                <w:rPr>
                  <w:rFonts w:ascii="Lato" w:cs="Lato" w:eastAsia="Lato" w:hAnsi="Lato"/>
                  <w:color w:val="0563c1"/>
                  <w:u w:val="single"/>
                  <w:rtl w:val="0"/>
                </w:rPr>
                <w:t xml:space="preserve">Open Meetings</w:t>
              </w:r>
            </w:hyperlink>
            <w:r w:rsidDel="00000000" w:rsidR="00000000" w:rsidRPr="00000000">
              <w:rPr>
                <w:rtl w:val="0"/>
              </w:rPr>
            </w:r>
          </w:p>
        </w:tc>
      </w:tr>
      <w:tr>
        <w:trPr>
          <w:cantSplit w:val="0"/>
          <w:tblHeader w:val="0"/>
        </w:trPr>
        <w:tc>
          <w:tcPr>
            <w:tcMar>
              <w:top w:w="0.0" w:type="dxa"/>
              <w:bottom w:w="0.0" w:type="dxa"/>
            </w:tcMar>
          </w:tcPr>
          <w:p w:rsidR="00000000" w:rsidDel="00000000" w:rsidP="00000000" w:rsidRDefault="00000000" w:rsidRPr="00000000" w14:paraId="00000010">
            <w:pPr>
              <w:spacing w:after="0" w:lineRule="auto"/>
              <w:rPr/>
            </w:pPr>
            <w:r w:rsidDel="00000000" w:rsidR="00000000" w:rsidRPr="00000000">
              <w:rPr>
                <w:rFonts w:ascii="Lato" w:cs="Lato" w:eastAsia="Lato" w:hAnsi="Lato"/>
                <w:rtl w:val="0"/>
              </w:rPr>
              <w:t xml:space="preserve">Iowa Code  § 279.8</w:t>
            </w:r>
            <w:r w:rsidDel="00000000" w:rsidR="00000000" w:rsidRPr="00000000">
              <w:rPr>
                <w:rtl w:val="0"/>
              </w:rPr>
            </w:r>
          </w:p>
        </w:tc>
        <w:tc>
          <w:tcPr>
            <w:tcMar>
              <w:top w:w="0.0" w:type="dxa"/>
              <w:bottom w:w="0.0" w:type="dxa"/>
            </w:tcMar>
          </w:tcPr>
          <w:p w:rsidR="00000000" w:rsidDel="00000000" w:rsidP="00000000" w:rsidRDefault="00000000" w:rsidRPr="00000000" w14:paraId="00000011">
            <w:pPr>
              <w:rPr/>
            </w:pPr>
            <w:hyperlink r:id="rId8">
              <w:r w:rsidDel="00000000" w:rsidR="00000000" w:rsidRPr="00000000">
                <w:rPr>
                  <w:rFonts w:ascii="Lato" w:cs="Lato" w:eastAsia="Lato" w:hAnsi="Lato"/>
                  <w:color w:val="0563c1"/>
                  <w:u w:val="single"/>
                  <w:rtl w:val="0"/>
                </w:rPr>
                <w:t xml:space="preserve">Directors - General Rules - Bonds of Employees</w:t>
              </w:r>
            </w:hyperlink>
            <w:r w:rsidDel="00000000" w:rsidR="00000000" w:rsidRPr="00000000">
              <w:rPr>
                <w:rtl w:val="0"/>
              </w:rPr>
            </w:r>
          </w:p>
        </w:tc>
      </w:tr>
    </w:tbl>
    <w:p w:rsidR="00000000" w:rsidDel="00000000" w:rsidP="00000000" w:rsidRDefault="00000000" w:rsidRPr="00000000" w14:paraId="00000012">
      <w:pPr>
        <w:rPr/>
      </w:pPr>
      <w:r w:rsidDel="00000000" w:rsidR="00000000" w:rsidRPr="00000000">
        <w:rPr>
          <w:rtl w:val="0"/>
        </w:rPr>
      </w:r>
    </w:p>
    <w:sectPr>
      <w:pgSz w:h="15840" w:w="12240" w:orient="portrait"/>
      <w:pgMar w:bottom="402" w:top="617" w:left="1434" w:right="12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ato Black">
    <w:embedBold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 w:type="dxa"/>
        <w:bottom w:w="0.0" w:type="dxa"/>
        <w:right w:w="10.0" w:type="dxa"/>
      </w:tblCellMar>
    </w:tblPr>
  </w:style>
  <w:style w:type="table" w:styleId="Table2">
    <w:basedOn w:val="TableNormal"/>
    <w:tblPr>
      <w:tblStyleRowBandSize w:val="1"/>
      <w:tblStyleColBandSize w:val="1"/>
      <w:tblCellMar>
        <w:top w:w="45.0" w:type="dxa"/>
        <w:left w:w="45.0" w:type="dxa"/>
        <w:bottom w:w="45.0" w:type="dxa"/>
        <w:right w:w="45.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legis.iowa.gov/docs/code/21.pdf" TargetMode="External"/><Relationship Id="rId8" Type="http://schemas.openxmlformats.org/officeDocument/2006/relationships/hyperlink" Target="https://www.legis.iowa.gov/docs/code/279.8.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 Id="rId5" Type="http://schemas.openxmlformats.org/officeDocument/2006/relationships/font" Target="fonts/LatoBlack-bold.ttf"/><Relationship Id="rId6" Type="http://schemas.openxmlformats.org/officeDocument/2006/relationships/font" Target="fonts/LatoBlack-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IEi7dBhpL+UX+/5MznEGIjGsow==">CgMxLjAyCGguZ2pkZ3hzOAByITFNclE5TndfTG4teGNSZXhXZHhQM1p3ZXpCSjF3T1ZDMg==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2024-02-14T20:10:00Z</dcterms:created>
  <dc:creator>Linda Heisdorffer</dc:creator>
</cp:coreProperties>
</file>